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BF" w:rsidRDefault="00587A16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16">
        <w:rPr>
          <w:rFonts w:ascii="Times New Roman" w:hAnsi="Times New Roman" w:cs="Times New Roman"/>
          <w:b/>
          <w:sz w:val="24"/>
          <w:szCs w:val="24"/>
        </w:rPr>
        <w:t xml:space="preserve">Пояснительная </w:t>
      </w:r>
      <w:proofErr w:type="gramStart"/>
      <w:r w:rsidRPr="00587A16">
        <w:rPr>
          <w:rFonts w:ascii="Times New Roman" w:hAnsi="Times New Roman" w:cs="Times New Roman"/>
          <w:b/>
          <w:sz w:val="24"/>
          <w:szCs w:val="24"/>
        </w:rPr>
        <w:t>записка  по</w:t>
      </w:r>
      <w:proofErr w:type="gramEnd"/>
      <w:r w:rsidRPr="00587A16">
        <w:rPr>
          <w:rFonts w:ascii="Times New Roman" w:hAnsi="Times New Roman" w:cs="Times New Roman"/>
          <w:b/>
          <w:sz w:val="24"/>
          <w:szCs w:val="24"/>
        </w:rPr>
        <w:t xml:space="preserve"> результатам проведенной оценки налоговых расходов муниц</w:t>
      </w:r>
      <w:r w:rsidR="000B74F8">
        <w:rPr>
          <w:rFonts w:ascii="Times New Roman" w:hAnsi="Times New Roman" w:cs="Times New Roman"/>
          <w:b/>
          <w:sz w:val="24"/>
          <w:szCs w:val="24"/>
        </w:rPr>
        <w:t>ипального образования Загривское</w:t>
      </w:r>
      <w:r w:rsidRPr="00587A1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Сланцевского муниципального района Ленинградской области</w:t>
      </w:r>
    </w:p>
    <w:p w:rsidR="00504619" w:rsidRDefault="00504619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AC0E3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F0C59" w:rsidRPr="00EC040E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952A85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0B74F8">
        <w:rPr>
          <w:rFonts w:ascii="Times New Roman" w:hAnsi="Times New Roman" w:cs="Times New Roman"/>
          <w:sz w:val="24"/>
          <w:szCs w:val="24"/>
        </w:rPr>
        <w:t>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осуществления оценки налоговых расходов муницип</w:t>
      </w:r>
      <w:r w:rsidR="000B74F8">
        <w:rPr>
          <w:rFonts w:ascii="Times New Roman" w:hAnsi="Times New Roman" w:cs="Times New Roman"/>
          <w:sz w:val="24"/>
          <w:szCs w:val="24"/>
        </w:rPr>
        <w:t>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  <w:r w:rsidR="0066369C" w:rsidRPr="00952A85">
        <w:rPr>
          <w:rFonts w:ascii="Times New Roman" w:hAnsi="Times New Roman" w:cs="Times New Roman"/>
          <w:sz w:val="24"/>
          <w:szCs w:val="24"/>
        </w:rPr>
        <w:t>от 31 марта  2020 года № 27</w:t>
      </w:r>
      <w:r w:rsidRPr="00952A85">
        <w:rPr>
          <w:rFonts w:ascii="Times New Roman" w:hAnsi="Times New Roman" w:cs="Times New Roman"/>
          <w:sz w:val="24"/>
          <w:szCs w:val="24"/>
        </w:rPr>
        <w:t>-п</w:t>
      </w:r>
      <w:r w:rsidR="00D43AA0" w:rsidRPr="00952A85">
        <w:rPr>
          <w:rFonts w:ascii="Times New Roman" w:hAnsi="Times New Roman" w:cs="Times New Roman"/>
          <w:sz w:val="24"/>
          <w:szCs w:val="24"/>
        </w:rPr>
        <w:t>.</w:t>
      </w:r>
    </w:p>
    <w:p w:rsidR="00EF0C59" w:rsidRPr="00F51018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A85">
        <w:rPr>
          <w:rFonts w:ascii="Times New Roman" w:hAnsi="Times New Roman" w:cs="Times New Roman"/>
          <w:sz w:val="24"/>
          <w:szCs w:val="24"/>
        </w:rPr>
        <w:t>В целях оценки налоговых расходов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Черновское сельское поселение Сланцев</w:t>
      </w:r>
      <w:r w:rsidR="009A26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Ленинградской области 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AC0E32">
        <w:rPr>
          <w:rFonts w:ascii="Times New Roman" w:hAnsi="Times New Roman" w:cs="Times New Roman"/>
          <w:sz w:val="24"/>
          <w:szCs w:val="24"/>
        </w:rPr>
        <w:t>3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C0E32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AC0E32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 w:rsidR="00A5210A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5210A" w:rsidRPr="00B16DE7">
        <w:rPr>
          <w:rFonts w:ascii="Times New Roman" w:hAnsi="Times New Roman" w:cs="Times New Roman"/>
          <w:sz w:val="24"/>
          <w:szCs w:val="24"/>
        </w:rPr>
        <w:t>поселение</w:t>
      </w:r>
      <w:r w:rsidRPr="00B16DE7">
        <w:rPr>
          <w:rFonts w:ascii="Times New Roman" w:hAnsi="Times New Roman" w:cs="Times New Roman"/>
          <w:sz w:val="24"/>
          <w:szCs w:val="24"/>
        </w:rPr>
        <w:t xml:space="preserve"> </w:t>
      </w:r>
      <w:r w:rsidR="004A2FB0" w:rsidRPr="00B16DE7">
        <w:rPr>
          <w:rFonts w:ascii="Times New Roman" w:hAnsi="Times New Roman" w:cs="Times New Roman"/>
          <w:sz w:val="24"/>
          <w:szCs w:val="24"/>
        </w:rPr>
        <w:t xml:space="preserve">от </w:t>
      </w:r>
      <w:r w:rsidR="00B16DE7" w:rsidRPr="00B16DE7">
        <w:rPr>
          <w:rFonts w:ascii="Times New Roman" w:hAnsi="Times New Roman" w:cs="Times New Roman"/>
          <w:sz w:val="24"/>
          <w:szCs w:val="24"/>
        </w:rPr>
        <w:t>25.04</w:t>
      </w:r>
      <w:r w:rsidR="00624648" w:rsidRPr="00B16DE7">
        <w:rPr>
          <w:rFonts w:ascii="Times New Roman" w:hAnsi="Times New Roman" w:cs="Times New Roman"/>
          <w:sz w:val="24"/>
          <w:szCs w:val="24"/>
        </w:rPr>
        <w:t>.2023</w:t>
      </w:r>
      <w:r w:rsidRPr="00B16DE7">
        <w:rPr>
          <w:rFonts w:ascii="Times New Roman" w:hAnsi="Times New Roman" w:cs="Times New Roman"/>
          <w:sz w:val="24"/>
          <w:szCs w:val="24"/>
        </w:rPr>
        <w:t xml:space="preserve"> № </w:t>
      </w:r>
      <w:r w:rsidR="00B16DE7" w:rsidRPr="00B16DE7">
        <w:rPr>
          <w:rFonts w:ascii="Times New Roman" w:hAnsi="Times New Roman" w:cs="Times New Roman"/>
          <w:sz w:val="24"/>
          <w:szCs w:val="24"/>
        </w:rPr>
        <w:t>59</w:t>
      </w:r>
      <w:r w:rsidR="00A5210A" w:rsidRPr="00B16DE7">
        <w:rPr>
          <w:rFonts w:ascii="Times New Roman" w:hAnsi="Times New Roman" w:cs="Times New Roman"/>
          <w:sz w:val="24"/>
          <w:szCs w:val="24"/>
        </w:rPr>
        <w:t>-п</w:t>
      </w:r>
      <w:r w:rsidRPr="00B16DE7">
        <w:rPr>
          <w:rFonts w:ascii="Times New Roman" w:hAnsi="Times New Roman" w:cs="Times New Roman"/>
          <w:sz w:val="24"/>
          <w:szCs w:val="24"/>
        </w:rPr>
        <w:t>);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Pr="00F004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 w:rsidRPr="00F0044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624648">
        <w:rPr>
          <w:rFonts w:ascii="Times New Roman" w:hAnsi="Times New Roman" w:cs="Times New Roman"/>
          <w:sz w:val="24"/>
          <w:szCs w:val="24"/>
        </w:rPr>
        <w:t>3</w:t>
      </w:r>
      <w:r w:rsidRPr="00F0044C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A2FB0">
        <w:rPr>
          <w:rFonts w:ascii="Times New Roman" w:hAnsi="Times New Roman" w:cs="Times New Roman"/>
          <w:sz w:val="24"/>
          <w:szCs w:val="24"/>
        </w:rPr>
        <w:t>3</w:t>
      </w:r>
      <w:r w:rsidRPr="00F0044C">
        <w:rPr>
          <w:rFonts w:ascii="Times New Roman" w:hAnsi="Times New Roman" w:cs="Times New Roman"/>
          <w:sz w:val="24"/>
          <w:szCs w:val="24"/>
        </w:rPr>
        <w:t>-202</w:t>
      </w:r>
      <w:r w:rsidR="004A2FB0">
        <w:rPr>
          <w:rFonts w:ascii="Times New Roman" w:hAnsi="Times New Roman" w:cs="Times New Roman"/>
          <w:sz w:val="24"/>
          <w:szCs w:val="24"/>
        </w:rPr>
        <w:t>4</w:t>
      </w:r>
      <w:r w:rsidRPr="00F0044C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952A8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521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952A85">
        <w:rPr>
          <w:rFonts w:ascii="Times New Roman" w:hAnsi="Times New Roman" w:cs="Times New Roman"/>
          <w:sz w:val="24"/>
          <w:szCs w:val="24"/>
        </w:rPr>
        <w:t>34-сд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98">
        <w:rPr>
          <w:rFonts w:ascii="Times New Roman" w:hAnsi="Times New Roman" w:cs="Times New Roman"/>
          <w:sz w:val="24"/>
        </w:rPr>
        <w:t>«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r w:rsidR="000B74F8">
        <w:rPr>
          <w:rFonts w:ascii="Times New Roman" w:hAnsi="Times New Roman" w:cs="Times New Roman"/>
          <w:sz w:val="24"/>
          <w:szCs w:val="20"/>
        </w:rPr>
        <w:t>Загривское</w:t>
      </w:r>
      <w:r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</w:t>
      </w:r>
      <w:r w:rsidR="00A5210A">
        <w:rPr>
          <w:rFonts w:ascii="Times New Roman" w:hAnsi="Times New Roman" w:cs="Times New Roman"/>
          <w:sz w:val="24"/>
          <w:szCs w:val="20"/>
        </w:rPr>
        <w:t>Сланцевского</w:t>
      </w:r>
      <w:r w:rsidRPr="00DB6B13">
        <w:rPr>
          <w:rFonts w:ascii="Times New Roman" w:hAnsi="Times New Roman" w:cs="Times New Roman"/>
          <w:sz w:val="24"/>
          <w:szCs w:val="20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EF0C59" w:rsidRPr="008822DD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9A6D52" w:rsidRPr="009A6D52" w:rsidRDefault="00EF0C59" w:rsidP="009A6D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 xml:space="preserve">1) 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r w:rsidR="000B74F8">
        <w:rPr>
          <w:rFonts w:ascii="Times New Roman" w:hAnsi="Times New Roman" w:cs="Times New Roman"/>
          <w:sz w:val="24"/>
          <w:szCs w:val="24"/>
        </w:rPr>
        <w:t>самоуправления Загривского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земельных участков, предоставленных для непосредственного выполнения возложенных на эти учреждения функций на 100%;</w:t>
      </w:r>
    </w:p>
    <w:p w:rsidR="00EF0C59" w:rsidRDefault="00CE6DFA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) Для категории налогоплательщиков - физических лиц, имеющих трёх и более несовершеннолетних детей, налоговая база дополнительно уменьшается на величину кадастровой стоимости </w:t>
      </w:r>
      <w:r w:rsidR="009A6D52">
        <w:rPr>
          <w:rFonts w:ascii="Times New Roman" w:hAnsi="Times New Roman" w:cs="Times New Roman"/>
          <w:sz w:val="24"/>
          <w:szCs w:val="24"/>
        </w:rPr>
        <w:t>1200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</w:t>
      </w:r>
    </w:p>
    <w:p w:rsidR="00B90787" w:rsidRPr="00485FEA" w:rsidRDefault="00B90787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CE211E">
        <w:rPr>
          <w:rFonts w:ascii="Times New Roman" w:hAnsi="Times New Roman" w:cs="Times New Roman"/>
          <w:sz w:val="24"/>
          <w:szCs w:val="24"/>
        </w:rPr>
        <w:t>2</w:t>
      </w:r>
      <w:r w:rsidR="004126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FC0BBB">
        <w:rPr>
          <w:rFonts w:ascii="Times New Roman" w:hAnsi="Times New Roman" w:cs="Times New Roman"/>
          <w:sz w:val="24"/>
          <w:szCs w:val="24"/>
        </w:rPr>
        <w:t>16</w:t>
      </w:r>
      <w:r w:rsidR="004A2FB0">
        <w:rPr>
          <w:rFonts w:ascii="Times New Roman" w:hAnsi="Times New Roman" w:cs="Times New Roman"/>
          <w:sz w:val="24"/>
          <w:szCs w:val="24"/>
        </w:rPr>
        <w:t>,</w:t>
      </w:r>
      <w:r w:rsidR="00FC0BB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Pr="00B90787" w:rsidRDefault="00EF0C59" w:rsidP="00EF0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87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бюджета муниципального образования </w:t>
      </w:r>
      <w:r w:rsidR="009E1AD8">
        <w:rPr>
          <w:rFonts w:ascii="Times New Roman" w:hAnsi="Times New Roman" w:cs="Times New Roman"/>
          <w:b/>
          <w:sz w:val="24"/>
          <w:szCs w:val="24"/>
        </w:rPr>
        <w:t>Загривское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85037" w:rsidRPr="00B90787">
        <w:rPr>
          <w:rFonts w:ascii="Times New Roman" w:hAnsi="Times New Roman" w:cs="Times New Roman"/>
          <w:b/>
          <w:sz w:val="24"/>
          <w:szCs w:val="24"/>
        </w:rPr>
        <w:t>Сланцевского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в 20</w:t>
      </w:r>
      <w:r w:rsidR="00CE211E" w:rsidRPr="00B90787">
        <w:rPr>
          <w:rFonts w:ascii="Times New Roman" w:hAnsi="Times New Roman" w:cs="Times New Roman"/>
          <w:b/>
          <w:sz w:val="24"/>
          <w:szCs w:val="24"/>
        </w:rPr>
        <w:t>2</w:t>
      </w:r>
      <w:r w:rsidR="00AC0E32" w:rsidRPr="00B90787">
        <w:rPr>
          <w:rFonts w:ascii="Times New Roman" w:hAnsi="Times New Roman" w:cs="Times New Roman"/>
          <w:b/>
          <w:sz w:val="24"/>
          <w:szCs w:val="24"/>
        </w:rPr>
        <w:t>3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году (оценка)</w:t>
      </w:r>
    </w:p>
    <w:p w:rsidR="00EF0C59" w:rsidRDefault="00EF0C59" w:rsidP="00EF0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6"/>
        <w:gridCol w:w="6519"/>
        <w:gridCol w:w="2432"/>
      </w:tblGrid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9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32" w:type="dxa"/>
          </w:tcPr>
          <w:p w:rsidR="00EF0C59" w:rsidRDefault="00EF0C59" w:rsidP="00135C31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F0C59" w:rsidTr="00135C31">
        <w:tc>
          <w:tcPr>
            <w:tcW w:w="9767" w:type="dxa"/>
            <w:gridSpan w:val="3"/>
          </w:tcPr>
          <w:p w:rsidR="00EF0C59" w:rsidRPr="00507762" w:rsidRDefault="00EF0C59" w:rsidP="00135C3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(юридические лица) (местный налог)</w:t>
            </w:r>
          </w:p>
        </w:tc>
      </w:tr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9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32" w:type="dxa"/>
          </w:tcPr>
          <w:p w:rsidR="004A38AD" w:rsidRDefault="004A38AD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  <w:p w:rsidR="004A38AD" w:rsidRDefault="004A38AD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19" w:type="dxa"/>
          </w:tcPr>
          <w:p w:rsidR="00EF0C59" w:rsidRPr="00D511A5" w:rsidRDefault="009A6D52" w:rsidP="00135C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3712CF">
              <w:rPr>
                <w:rFonts w:ascii="Times New Roman" w:hAnsi="Times New Roman" w:cs="Times New Roman"/>
              </w:rPr>
              <w:t>ципальное образование Загривское</w:t>
            </w:r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32" w:type="dxa"/>
          </w:tcPr>
          <w:p w:rsidR="00EF0C59" w:rsidRDefault="00EF0C59" w:rsidP="0066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59" w:rsidTr="00135C31">
        <w:tc>
          <w:tcPr>
            <w:tcW w:w="9767" w:type="dxa"/>
            <w:gridSpan w:val="3"/>
          </w:tcPr>
          <w:p w:rsidR="00EF0C59" w:rsidRPr="00507762" w:rsidRDefault="00EF0C59" w:rsidP="00135C3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5D212B" w:rsidTr="00B043FA">
        <w:tc>
          <w:tcPr>
            <w:tcW w:w="816" w:type="dxa"/>
          </w:tcPr>
          <w:p w:rsidR="005D212B" w:rsidRDefault="005D212B" w:rsidP="00CE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E6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</w:tcPr>
          <w:p w:rsidR="005D212B" w:rsidRDefault="0063118C" w:rsidP="009D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и инвалиды ВОВ в отношении принадлежащим им земельных участков, находящихся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терртиории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Загривское сельское поселение</w:t>
            </w:r>
          </w:p>
        </w:tc>
        <w:tc>
          <w:tcPr>
            <w:tcW w:w="2432" w:type="dxa"/>
          </w:tcPr>
          <w:p w:rsidR="005D212B" w:rsidRPr="00507762" w:rsidRDefault="0063118C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3118C" w:rsidTr="0063118C">
        <w:trPr>
          <w:trHeight w:val="1994"/>
        </w:trPr>
        <w:tc>
          <w:tcPr>
            <w:tcW w:w="816" w:type="dxa"/>
          </w:tcPr>
          <w:p w:rsidR="0063118C" w:rsidRDefault="0063118C" w:rsidP="00CE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19" w:type="dxa"/>
          </w:tcPr>
          <w:p w:rsidR="0063118C" w:rsidRDefault="0063118C" w:rsidP="009D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432" w:type="dxa"/>
          </w:tcPr>
          <w:p w:rsidR="0063118C" w:rsidRDefault="0063118C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63118C" w:rsidRDefault="0063118C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F0C59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  <w:r w:rsidR="00371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C59" w:rsidRPr="00EC040E" w:rsidRDefault="00EF0C59" w:rsidP="00EF0C59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E60E8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EF0C59" w:rsidRPr="00C97A03" w:rsidTr="00CE6DFA">
        <w:tc>
          <w:tcPr>
            <w:tcW w:w="215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  <w:tcBorders>
              <w:bottom w:val="nil"/>
            </w:tcBorders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0787" w:rsidRPr="00C97A03" w:rsidTr="00CE6DFA">
        <w:tc>
          <w:tcPr>
            <w:tcW w:w="2150" w:type="dxa"/>
            <w:vMerge w:val="restart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586" w:type="dxa"/>
          </w:tcPr>
          <w:p w:rsidR="00B90787" w:rsidRPr="00D511A5" w:rsidRDefault="00B90787" w:rsidP="00135C3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</w:t>
            </w:r>
            <w:r w:rsidR="009E1AD8">
              <w:rPr>
                <w:rFonts w:ascii="Times New Roman" w:hAnsi="Times New Roman" w:cs="Times New Roman"/>
                <w:sz w:val="22"/>
                <w:szCs w:val="22"/>
              </w:rPr>
              <w:t>ание Загривское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CE6DFA" w:rsidRDefault="00CE6DFA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CE6DFA" w:rsidP="00CE6DFA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B90787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Сланцевский муниципальный район Ленинградской области до 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Pr="00B90787" w:rsidRDefault="00B90787" w:rsidP="00B907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CE6DFA" w:rsidRPr="00C97A03" w:rsidTr="00135C31">
        <w:tc>
          <w:tcPr>
            <w:tcW w:w="215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CE6DFA" w:rsidRPr="00C97A03" w:rsidTr="00135C31">
        <w:trPr>
          <w:trHeight w:val="1528"/>
        </w:trPr>
        <w:tc>
          <w:tcPr>
            <w:tcW w:w="215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F0C59" w:rsidRPr="00EC040E" w:rsidTr="00135C31"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F0C59" w:rsidRPr="00EC040E" w:rsidTr="00B90787">
        <w:trPr>
          <w:trHeight w:val="1129"/>
        </w:trPr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F350AE">
              <w:rPr>
                <w:rFonts w:ascii="Times New Roman" w:hAnsi="Times New Roman" w:cs="Times New Roman"/>
              </w:rPr>
              <w:t>ципальное образование Загривское</w:t>
            </w:r>
            <w:r>
              <w:rPr>
                <w:rFonts w:ascii="Times New Roman" w:hAnsi="Times New Roman" w:cs="Times New Roman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174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C59" w:rsidRPr="00EC040E" w:rsidTr="00135C31">
        <w:tc>
          <w:tcPr>
            <w:tcW w:w="3403" w:type="dxa"/>
          </w:tcPr>
          <w:p w:rsidR="00EF0C59" w:rsidRPr="00EC040E" w:rsidRDefault="009D4AF2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F0C59" w:rsidRPr="00EC040E" w:rsidRDefault="008E44B1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05" w:type="dxa"/>
          </w:tcPr>
          <w:p w:rsidR="00EF0C59" w:rsidRPr="00EC040E" w:rsidRDefault="008E44B1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F0C59" w:rsidRDefault="00EF0C59" w:rsidP="00EF0C5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Pr="007C2F7B" w:rsidRDefault="00EF0C59" w:rsidP="007C2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0C27DB">
        <w:rPr>
          <w:rFonts w:ascii="Times New Roman" w:hAnsi="Times New Roman" w:cs="Times New Roman"/>
          <w:sz w:val="24"/>
          <w:szCs w:val="24"/>
        </w:rPr>
        <w:t>Сланцевский</w:t>
      </w:r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="00B90787">
        <w:rPr>
          <w:rFonts w:ascii="Times New Roman" w:hAnsi="Times New Roman" w:cs="Times New Roman"/>
          <w:sz w:val="24"/>
          <w:szCs w:val="24"/>
        </w:rPr>
        <w:t>до 2025г.</w:t>
      </w:r>
    </w:p>
    <w:p w:rsidR="00EF0C59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EF0C59" w:rsidRPr="0061628F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 xml:space="preserve">Сланцевского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соответствуют к</w:t>
      </w:r>
      <w:r w:rsidRPr="00485FEA">
        <w:rPr>
          <w:rFonts w:ascii="Times New Roman" w:hAnsi="Times New Roman" w:cs="Times New Roman"/>
          <w:sz w:val="24"/>
          <w:szCs w:val="24"/>
        </w:rPr>
        <w:t>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0C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эффективными</w:t>
      </w:r>
      <w:proofErr w:type="gramEnd"/>
      <w:r w:rsidR="00D85037"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037" w:rsidRDefault="00D85037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A16" w:rsidRPr="00587A16" w:rsidRDefault="00EF0C59" w:rsidP="00CE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</w:t>
      </w:r>
      <w:proofErr w:type="spellStart"/>
      <w:r w:rsidR="009E1AD8">
        <w:rPr>
          <w:rFonts w:ascii="Times New Roman" w:hAnsi="Times New Roman" w:cs="Times New Roman"/>
          <w:sz w:val="24"/>
          <w:szCs w:val="24"/>
        </w:rPr>
        <w:t>С.В.Калинин</w:t>
      </w:r>
      <w:proofErr w:type="spellEnd"/>
    </w:p>
    <w:sectPr w:rsidR="00587A16" w:rsidRPr="00587A16" w:rsidSect="00B9078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C780C"/>
    <w:multiLevelType w:val="hybridMultilevel"/>
    <w:tmpl w:val="62BE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A16"/>
    <w:rsid w:val="00045164"/>
    <w:rsid w:val="000860DD"/>
    <w:rsid w:val="000B74F8"/>
    <w:rsid w:val="000C27DB"/>
    <w:rsid w:val="000C711A"/>
    <w:rsid w:val="00182F1C"/>
    <w:rsid w:val="00283BBF"/>
    <w:rsid w:val="003712CF"/>
    <w:rsid w:val="003D33E1"/>
    <w:rsid w:val="00412635"/>
    <w:rsid w:val="004A2FB0"/>
    <w:rsid w:val="004A38AD"/>
    <w:rsid w:val="00504619"/>
    <w:rsid w:val="00557D9D"/>
    <w:rsid w:val="00587A16"/>
    <w:rsid w:val="005D212B"/>
    <w:rsid w:val="00624648"/>
    <w:rsid w:val="0063118C"/>
    <w:rsid w:val="0066369C"/>
    <w:rsid w:val="0066448C"/>
    <w:rsid w:val="006F640E"/>
    <w:rsid w:val="00793F3C"/>
    <w:rsid w:val="007C2F7B"/>
    <w:rsid w:val="00853C65"/>
    <w:rsid w:val="008E44B1"/>
    <w:rsid w:val="00932E3D"/>
    <w:rsid w:val="00952A85"/>
    <w:rsid w:val="009A26A1"/>
    <w:rsid w:val="009A6D52"/>
    <w:rsid w:val="009C2272"/>
    <w:rsid w:val="009D4AF2"/>
    <w:rsid w:val="009E1AD8"/>
    <w:rsid w:val="00A5210A"/>
    <w:rsid w:val="00AA718D"/>
    <w:rsid w:val="00AC0E32"/>
    <w:rsid w:val="00AD5454"/>
    <w:rsid w:val="00B043FA"/>
    <w:rsid w:val="00B16DE7"/>
    <w:rsid w:val="00B83F10"/>
    <w:rsid w:val="00B90787"/>
    <w:rsid w:val="00BE1E86"/>
    <w:rsid w:val="00CE211E"/>
    <w:rsid w:val="00CE6DFA"/>
    <w:rsid w:val="00CF3B0E"/>
    <w:rsid w:val="00D43AA0"/>
    <w:rsid w:val="00D7478A"/>
    <w:rsid w:val="00D85037"/>
    <w:rsid w:val="00DF733E"/>
    <w:rsid w:val="00EF0C59"/>
    <w:rsid w:val="00F350AE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2D7-F571-453D-8DD5-4E06ABF4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C59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EF0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043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B04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04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ADMZAGR-01</cp:lastModifiedBy>
  <cp:revision>21</cp:revision>
  <cp:lastPrinted>2023-09-29T07:18:00Z</cp:lastPrinted>
  <dcterms:created xsi:type="dcterms:W3CDTF">2023-08-22T05:38:00Z</dcterms:created>
  <dcterms:modified xsi:type="dcterms:W3CDTF">2023-10-02T11:23:00Z</dcterms:modified>
</cp:coreProperties>
</file>